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CD127" w14:textId="3F2C84EA" w:rsidR="341356DB" w:rsidRDefault="341356DB" w:rsidP="534090A4">
      <w:pPr>
        <w:pStyle w:val="CRCoverPage"/>
        <w:tabs>
          <w:tab w:val="right" w:pos="9639"/>
        </w:tabs>
        <w:spacing w:after="0"/>
        <w:rPr>
          <w:rFonts w:eastAsia="Arial" w:cs="Arial"/>
          <w:color w:val="000000" w:themeColor="text1"/>
          <w:sz w:val="28"/>
          <w:szCs w:val="28"/>
          <w:lang w:val="en-US"/>
        </w:rPr>
      </w:pPr>
      <w:r w:rsidRPr="534090A4">
        <w:rPr>
          <w:rFonts w:eastAsia="Arial" w:cs="Arial"/>
          <w:b/>
          <w:bCs/>
          <w:color w:val="000000" w:themeColor="text1"/>
        </w:rPr>
        <w:t>3GPP TSG-RAN WG2 Meeting #131bis</w:t>
      </w:r>
      <w:r>
        <w:tab/>
      </w:r>
      <w:r w:rsidRPr="534090A4">
        <w:rPr>
          <w:rFonts w:eastAsia="Arial" w:cs="Arial"/>
          <w:b/>
          <w:bCs/>
          <w:i/>
          <w:iCs/>
          <w:color w:val="000000" w:themeColor="text1"/>
          <w:sz w:val="28"/>
          <w:szCs w:val="28"/>
        </w:rPr>
        <w:t>R2-</w:t>
      </w:r>
      <w:r w:rsidRPr="6B32F8B3">
        <w:rPr>
          <w:rFonts w:eastAsia="Arial" w:cs="Arial"/>
          <w:b/>
          <w:bCs/>
          <w:i/>
          <w:iCs/>
          <w:color w:val="000000" w:themeColor="text1"/>
          <w:sz w:val="28"/>
          <w:szCs w:val="28"/>
        </w:rPr>
        <w:t>25</w:t>
      </w:r>
      <w:r w:rsidR="0D98F478" w:rsidRPr="6B32F8B3">
        <w:rPr>
          <w:rFonts w:eastAsia="Arial" w:cs="Arial"/>
          <w:b/>
          <w:bCs/>
          <w:i/>
          <w:iCs/>
          <w:color w:val="000000" w:themeColor="text1"/>
          <w:sz w:val="28"/>
          <w:szCs w:val="28"/>
        </w:rPr>
        <w:t>06890</w:t>
      </w:r>
    </w:p>
    <w:p w14:paraId="68B1A98F" w14:textId="56FA9C53" w:rsidR="341356DB" w:rsidRDefault="341356DB" w:rsidP="534090A4">
      <w:pPr>
        <w:pStyle w:val="CRCoverPage"/>
        <w:rPr>
          <w:rFonts w:eastAsia="Arial" w:cs="Arial"/>
          <w:color w:val="000000" w:themeColor="text1"/>
          <w:lang w:val="en-US"/>
        </w:rPr>
      </w:pPr>
      <w:r w:rsidRPr="534090A4">
        <w:rPr>
          <w:rFonts w:eastAsia="Arial" w:cs="Arial"/>
          <w:b/>
          <w:bCs/>
          <w:color w:val="000000" w:themeColor="text1"/>
          <w:lang w:val="en-US"/>
        </w:rPr>
        <w:t>Prague, CZ, 13 – 17 Oct 2025</w:t>
      </w:r>
    </w:p>
    <w:p w14:paraId="70EF88CF" w14:textId="45C2D678" w:rsidR="534090A4" w:rsidRDefault="534090A4" w:rsidP="534090A4">
      <w:pPr>
        <w:widowControl w:val="0"/>
        <w:rPr>
          <w:rFonts w:ascii="Arial" w:eastAsia="Arial" w:hAnsi="Arial" w:cs="Arial"/>
          <w:b/>
          <w:bCs/>
          <w:color w:val="000000" w:themeColor="text1"/>
        </w:rPr>
      </w:pPr>
    </w:p>
    <w:p w14:paraId="22F6DB93" w14:textId="5536B45A" w:rsidR="341356DB" w:rsidRDefault="341356DB" w:rsidP="534090A4">
      <w:pPr>
        <w:pStyle w:val="CRCoverPage"/>
        <w:rPr>
          <w:rFonts w:eastAsia="Arial" w:cs="Arial"/>
          <w:color w:val="000000" w:themeColor="text1"/>
          <w:lang w:val="en-US"/>
        </w:rPr>
      </w:pPr>
      <w:r w:rsidRPr="534090A4">
        <w:rPr>
          <w:rFonts w:eastAsia="Arial" w:cs="Arial"/>
          <w:b/>
          <w:bCs/>
          <w:color w:val="000000" w:themeColor="text1"/>
          <w:lang w:val="en-US"/>
        </w:rPr>
        <w:t>Agenda item:</w:t>
      </w:r>
      <w:r w:rsidR="008B32B3">
        <w:tab/>
      </w:r>
      <w:r w:rsidR="006B64DA">
        <w:rPr>
          <w:rFonts w:eastAsia="Arial" w:cs="Arial"/>
          <w:b/>
          <w:bCs/>
          <w:color w:val="000000" w:themeColor="text1"/>
          <w:lang w:val="en-US"/>
        </w:rPr>
        <w:t>10.</w:t>
      </w:r>
      <w:r w:rsidR="00D57B3E">
        <w:rPr>
          <w:rFonts w:eastAsia="Arial" w:cs="Arial"/>
          <w:b/>
          <w:bCs/>
          <w:color w:val="000000" w:themeColor="text1"/>
          <w:lang w:val="en-US"/>
        </w:rPr>
        <w:t>3.2</w:t>
      </w:r>
    </w:p>
    <w:p w14:paraId="4B4FBC44" w14:textId="749B5C70" w:rsidR="341356DB" w:rsidRDefault="341356DB" w:rsidP="534090A4">
      <w:pPr>
        <w:tabs>
          <w:tab w:val="left" w:pos="1985"/>
        </w:tabs>
        <w:spacing w:after="180"/>
        <w:ind w:left="1985" w:hanging="1985"/>
        <w:rPr>
          <w:rFonts w:ascii="Arial" w:eastAsia="Arial" w:hAnsi="Arial" w:cs="Arial"/>
          <w:color w:val="000000" w:themeColor="text1"/>
        </w:rPr>
      </w:pPr>
      <w:r w:rsidRPr="534090A4">
        <w:rPr>
          <w:rFonts w:ascii="Arial" w:eastAsia="Arial" w:hAnsi="Arial" w:cs="Arial"/>
          <w:b/>
          <w:bCs/>
          <w:color w:val="000000" w:themeColor="text1"/>
        </w:rPr>
        <w:t>Source:</w:t>
      </w:r>
      <w:r w:rsidR="008B32B3">
        <w:tab/>
      </w:r>
      <w:r w:rsidRPr="534090A4">
        <w:rPr>
          <w:rFonts w:ascii="Arial" w:eastAsia="Arial" w:hAnsi="Arial" w:cs="Arial"/>
          <w:b/>
          <w:bCs/>
          <w:color w:val="000000" w:themeColor="text1"/>
        </w:rPr>
        <w:t>T-Mobile USA</w:t>
      </w:r>
    </w:p>
    <w:p w14:paraId="2343689E" w14:textId="02B608A3" w:rsidR="341356DB" w:rsidRDefault="341356DB" w:rsidP="534090A4">
      <w:pPr>
        <w:tabs>
          <w:tab w:val="left" w:pos="1985"/>
        </w:tabs>
        <w:spacing w:after="180"/>
        <w:ind w:left="1971" w:hangingChars="818" w:hanging="1971"/>
        <w:rPr>
          <w:rFonts w:ascii="Arial" w:eastAsia="Arial" w:hAnsi="Arial" w:cs="Arial"/>
          <w:color w:val="000000" w:themeColor="text1"/>
        </w:rPr>
      </w:pPr>
      <w:r w:rsidRPr="534090A4">
        <w:rPr>
          <w:rFonts w:ascii="Arial" w:eastAsia="Arial" w:hAnsi="Arial" w:cs="Arial"/>
          <w:b/>
          <w:bCs/>
          <w:color w:val="000000" w:themeColor="text1"/>
        </w:rPr>
        <w:t>Title:</w:t>
      </w:r>
      <w:r>
        <w:tab/>
      </w:r>
      <w:r w:rsidRPr="534090A4">
        <w:rPr>
          <w:rFonts w:ascii="Arial" w:eastAsia="Arial" w:hAnsi="Arial" w:cs="Arial"/>
          <w:b/>
          <w:bCs/>
          <w:color w:val="000000" w:themeColor="text1"/>
        </w:rPr>
        <w:t>RAN</w:t>
      </w:r>
      <w:r w:rsidR="74E18CFB" w:rsidRPr="534090A4">
        <w:rPr>
          <w:rFonts w:ascii="Arial" w:eastAsia="Arial" w:hAnsi="Arial" w:cs="Arial"/>
          <w:b/>
          <w:bCs/>
          <w:color w:val="000000" w:themeColor="text1"/>
        </w:rPr>
        <w:t>2</w:t>
      </w:r>
      <w:r w:rsidRPr="534090A4">
        <w:rPr>
          <w:rFonts w:ascii="Arial" w:eastAsia="Arial" w:hAnsi="Arial" w:cs="Arial"/>
          <w:b/>
          <w:bCs/>
          <w:color w:val="000000" w:themeColor="text1"/>
        </w:rPr>
        <w:t xml:space="preserve"> </w:t>
      </w:r>
      <w:r w:rsidR="008B0283">
        <w:rPr>
          <w:rFonts w:ascii="Arial" w:eastAsia="Arial" w:hAnsi="Arial" w:cs="Arial"/>
          <w:b/>
          <w:bCs/>
          <w:color w:val="000000" w:themeColor="text1"/>
        </w:rPr>
        <w:t xml:space="preserve">Enhancement </w:t>
      </w:r>
      <w:r w:rsidRPr="534090A4">
        <w:rPr>
          <w:rFonts w:ascii="Arial" w:eastAsia="Arial" w:hAnsi="Arial" w:cs="Arial"/>
          <w:b/>
          <w:bCs/>
          <w:color w:val="000000" w:themeColor="text1"/>
        </w:rPr>
        <w:t>consideration</w:t>
      </w:r>
      <w:r w:rsidR="008B0283">
        <w:rPr>
          <w:rFonts w:ascii="Arial" w:eastAsia="Arial" w:hAnsi="Arial" w:cs="Arial"/>
          <w:b/>
          <w:bCs/>
          <w:color w:val="000000" w:themeColor="text1"/>
        </w:rPr>
        <w:t>s for 6G FWA</w:t>
      </w:r>
    </w:p>
    <w:p w14:paraId="27EA6A50" w14:textId="2FFF2E39" w:rsidR="341356DB" w:rsidRDefault="341356DB" w:rsidP="534090A4">
      <w:pPr>
        <w:spacing w:after="180"/>
        <w:rPr>
          <w:rFonts w:ascii="Arial" w:eastAsia="Arial" w:hAnsi="Arial" w:cs="Arial"/>
          <w:color w:val="000000" w:themeColor="text1"/>
        </w:rPr>
      </w:pPr>
      <w:r w:rsidRPr="534090A4">
        <w:rPr>
          <w:rFonts w:ascii="Arial" w:eastAsia="Arial" w:hAnsi="Arial" w:cs="Arial"/>
          <w:b/>
          <w:bCs/>
          <w:color w:val="000000" w:themeColor="text1"/>
        </w:rPr>
        <w:t>Document for:</w:t>
      </w:r>
      <w:r w:rsidR="008B32B3">
        <w:tab/>
      </w:r>
      <w:r w:rsidRPr="534090A4">
        <w:rPr>
          <w:rFonts w:ascii="Arial" w:eastAsia="Arial" w:hAnsi="Arial" w:cs="Arial"/>
          <w:b/>
          <w:bCs/>
          <w:color w:val="000000" w:themeColor="text1"/>
        </w:rPr>
        <w:t>Discussion and Decision</w:t>
      </w:r>
    </w:p>
    <w:p w14:paraId="6100019D" w14:textId="6B9A62AA" w:rsidR="534090A4" w:rsidRDefault="534090A4"/>
    <w:p w14:paraId="41A24514" w14:textId="40FADDD2" w:rsidR="4A574B02" w:rsidRDefault="4A574B02" w:rsidP="534090A4">
      <w:pPr>
        <w:pStyle w:val="Heading1"/>
        <w:widowControl w:val="0"/>
        <w:pBdr>
          <w:top w:val="single" w:sz="12" w:space="3" w:color="auto"/>
        </w:pBdr>
        <w:spacing w:before="240" w:after="180"/>
        <w:rPr>
          <w:rFonts w:ascii="Aptos" w:eastAsia="Aptos" w:hAnsi="Aptos" w:cs="Aptos"/>
          <w:sz w:val="24"/>
          <w:szCs w:val="24"/>
        </w:rPr>
      </w:pPr>
      <w:r w:rsidRPr="534090A4">
        <w:rPr>
          <w:rFonts w:ascii="Arial" w:eastAsia="Arial" w:hAnsi="Arial" w:cs="Arial"/>
          <w:color w:val="000000" w:themeColor="text1"/>
          <w:sz w:val="36"/>
          <w:szCs w:val="36"/>
        </w:rPr>
        <w:t>1.Introduction</w:t>
      </w:r>
    </w:p>
    <w:p w14:paraId="745F9AD4" w14:textId="77777777" w:rsidR="006952A4" w:rsidRPr="006952A4" w:rsidRDefault="006952A4" w:rsidP="006952A4">
      <w:r w:rsidRPr="006952A4">
        <w:t>Fixed Wireless Access (FWA) has emerged as an important deployment scenario in commercial NR networks, enabling broadband connectivity in suburban, rural, and enterprise environments. Unlike mobile UEs, FWA Customer Premises Equipment (CPE) devices are stationary, typically mains-powered, and configured once during installation.</w:t>
      </w:r>
    </w:p>
    <w:p w14:paraId="5E0DEFA9" w14:textId="682122E6" w:rsidR="006952A4" w:rsidRPr="006952A4" w:rsidRDefault="006952A4" w:rsidP="006952A4">
      <w:r>
        <w:t xml:space="preserve">RAN2 may </w:t>
      </w:r>
      <w:r w:rsidR="4AE17C56">
        <w:t>study</w:t>
      </w:r>
      <w:r>
        <w:t xml:space="preserve"> higher-layer procedures and signaling frameworks to reduce unnecessary complexity for stationary operation while maintaining interoperability within NR and future 6G systems. This contribution provides observations and areas of potential interest.</w:t>
      </w:r>
    </w:p>
    <w:p w14:paraId="184EAF3A" w14:textId="4E87D0D1" w:rsidR="006952A4" w:rsidRPr="006952A4" w:rsidRDefault="0A31AE30" w:rsidP="534090A4">
      <w:pPr>
        <w:pStyle w:val="Heading1"/>
        <w:widowControl w:val="0"/>
        <w:pBdr>
          <w:top w:val="single" w:sz="12" w:space="3" w:color="auto"/>
        </w:pBdr>
        <w:spacing w:before="240" w:after="180"/>
        <w:rPr>
          <w:rFonts w:ascii="Aptos" w:eastAsia="Aptos" w:hAnsi="Aptos" w:cs="Aptos"/>
          <w:sz w:val="24"/>
          <w:szCs w:val="24"/>
        </w:rPr>
      </w:pPr>
      <w:r w:rsidRPr="534090A4">
        <w:rPr>
          <w:rFonts w:ascii="Arial" w:eastAsia="Arial" w:hAnsi="Arial" w:cs="Arial"/>
          <w:color w:val="000000" w:themeColor="text1"/>
          <w:sz w:val="36"/>
          <w:szCs w:val="36"/>
        </w:rPr>
        <w:t>2.Background</w:t>
      </w:r>
    </w:p>
    <w:p w14:paraId="72CFA1F2" w14:textId="02620556" w:rsidR="006952A4" w:rsidRPr="006952A4" w:rsidRDefault="006952A4" w:rsidP="534090A4">
      <w:r>
        <w:t xml:space="preserve">5G </w:t>
      </w:r>
      <w:r w:rsidR="7FDE361C">
        <w:t xml:space="preserve">NR </w:t>
      </w:r>
      <w:r>
        <w:t>procedures were primarily designed for mobile broadband</w:t>
      </w:r>
      <w:r w:rsidR="23A598BF">
        <w:t>, which has distinct characteristics compared to fixed wireless system</w:t>
      </w:r>
      <w:r>
        <w:t>. Applying the full set of mobility, paging, and power-saving mechanisms to stationary FWA devices introduces overhead and complexity without proportional benefit.</w:t>
      </w:r>
    </w:p>
    <w:p w14:paraId="4BB7AE02" w14:textId="161B537B" w:rsidR="006952A4" w:rsidRPr="006952A4" w:rsidRDefault="7C731287" w:rsidP="534090A4">
      <w:pPr>
        <w:rPr>
          <w:rFonts w:ascii="Aptos" w:eastAsia="Aptos" w:hAnsi="Aptos"/>
        </w:rPr>
      </w:pPr>
      <w:r w:rsidRPr="534090A4">
        <w:rPr>
          <w:rFonts w:ascii="Aptos" w:eastAsia="Aptos" w:hAnsi="Aptos"/>
        </w:rPr>
        <w:t>Potential areas for simplification may exist that could improve efficiency, reduce signaling load, and better align with FWA characteristics.</w:t>
      </w:r>
    </w:p>
    <w:p w14:paraId="571A2E70" w14:textId="3B64CCD7" w:rsidR="006952A4" w:rsidRPr="006952A4" w:rsidRDefault="6CDD0BB7" w:rsidP="534090A4">
      <w:pPr>
        <w:pStyle w:val="Heading1"/>
        <w:widowControl w:val="0"/>
        <w:pBdr>
          <w:top w:val="single" w:sz="12" w:space="3" w:color="auto"/>
        </w:pBdr>
        <w:spacing w:before="240" w:after="180"/>
        <w:rPr>
          <w:rFonts w:ascii="Aptos" w:eastAsia="Aptos" w:hAnsi="Aptos" w:cs="Aptos"/>
          <w:sz w:val="24"/>
          <w:szCs w:val="24"/>
        </w:rPr>
      </w:pPr>
      <w:r w:rsidRPr="534090A4">
        <w:rPr>
          <w:rFonts w:ascii="Arial" w:eastAsia="Arial" w:hAnsi="Arial" w:cs="Arial"/>
          <w:color w:val="000000" w:themeColor="text1"/>
          <w:sz w:val="36"/>
          <w:szCs w:val="36"/>
        </w:rPr>
        <w:t>3.Observations</w:t>
      </w:r>
    </w:p>
    <w:p w14:paraId="678001AA" w14:textId="77777777" w:rsidR="006952A4" w:rsidRPr="006952A4" w:rsidRDefault="006952A4" w:rsidP="006952A4">
      <w:r w:rsidRPr="534090A4">
        <w:rPr>
          <w:b/>
          <w:bCs/>
        </w:rPr>
        <w:t>3.1 Mobility Procedures</w:t>
      </w:r>
    </w:p>
    <w:p w14:paraId="1433A59F" w14:textId="0F4B0FB9" w:rsidR="4D01B465" w:rsidRDefault="4D01B465" w:rsidP="534090A4">
      <w:pPr>
        <w:numPr>
          <w:ilvl w:val="0"/>
          <w:numId w:val="1"/>
        </w:numPr>
      </w:pPr>
      <w:r>
        <w:t>Handover events, measurement reporting, and related mechanisms may be less relevant for stationary FWA CPEs.</w:t>
      </w:r>
    </w:p>
    <w:p w14:paraId="1192E2EA" w14:textId="77777777" w:rsidR="006952A4" w:rsidRPr="006952A4" w:rsidRDefault="006952A4" w:rsidP="006952A4">
      <w:r w:rsidRPr="006952A4">
        <w:rPr>
          <w:b/>
          <w:bCs/>
        </w:rPr>
        <w:t>3.2 UE Power Saving Features</w:t>
      </w:r>
    </w:p>
    <w:p w14:paraId="6E37C749" w14:textId="77777777" w:rsidR="006952A4" w:rsidRPr="006952A4" w:rsidRDefault="006952A4" w:rsidP="006952A4">
      <w:pPr>
        <w:numPr>
          <w:ilvl w:val="0"/>
          <w:numId w:val="2"/>
        </w:numPr>
      </w:pPr>
      <w:r w:rsidRPr="006952A4">
        <w:lastRenderedPageBreak/>
        <w:t>These mechanisms may be simplified or tailored for network resource efficiency.</w:t>
      </w:r>
    </w:p>
    <w:p w14:paraId="6CE527A3" w14:textId="77777777" w:rsidR="006952A4" w:rsidRPr="006952A4" w:rsidRDefault="006952A4" w:rsidP="006952A4">
      <w:r w:rsidRPr="006952A4">
        <w:rPr>
          <w:b/>
          <w:bCs/>
        </w:rPr>
        <w:t>3.3 System Information Blocks (SIBs)</w:t>
      </w:r>
    </w:p>
    <w:p w14:paraId="4D3B0B60" w14:textId="77777777" w:rsidR="006952A4" w:rsidRPr="006952A4" w:rsidRDefault="006952A4" w:rsidP="006952A4">
      <w:pPr>
        <w:numPr>
          <w:ilvl w:val="0"/>
          <w:numId w:val="3"/>
        </w:numPr>
      </w:pPr>
      <w:r w:rsidRPr="006952A4">
        <w:t>FWA UEs may benefit from reduced broadcast overhead or static system information delivery.</w:t>
      </w:r>
    </w:p>
    <w:p w14:paraId="6D3041A2" w14:textId="77777777" w:rsidR="006952A4" w:rsidRPr="006952A4" w:rsidRDefault="006952A4" w:rsidP="006952A4">
      <w:r w:rsidRPr="006952A4">
        <w:rPr>
          <w:b/>
          <w:bCs/>
        </w:rPr>
        <w:t>3.4 NAS and RRC Procedures</w:t>
      </w:r>
    </w:p>
    <w:p w14:paraId="6F52C2EF" w14:textId="784B8342" w:rsidR="006952A4" w:rsidRPr="006952A4" w:rsidRDefault="006952A4" w:rsidP="006952A4">
      <w:pPr>
        <w:numPr>
          <w:ilvl w:val="0"/>
          <w:numId w:val="4"/>
        </w:numPr>
      </w:pPr>
      <w:r>
        <w:t>State transitions (e.g., IDLE/CONNECTED) are designed for mobility and intermittent device activity.</w:t>
      </w:r>
    </w:p>
    <w:p w14:paraId="7729FE23" w14:textId="77777777" w:rsidR="006952A4" w:rsidRPr="006952A4" w:rsidRDefault="006952A4" w:rsidP="006952A4">
      <w:r w:rsidRPr="006952A4">
        <w:rPr>
          <w:b/>
          <w:bCs/>
        </w:rPr>
        <w:t>3.5 IMS Voice and Emergency Services</w:t>
      </w:r>
    </w:p>
    <w:p w14:paraId="21077004" w14:textId="77777777" w:rsidR="006952A4" w:rsidRPr="006952A4" w:rsidRDefault="006952A4" w:rsidP="006952A4">
      <w:pPr>
        <w:numPr>
          <w:ilvl w:val="0"/>
          <w:numId w:val="5"/>
        </w:numPr>
      </w:pPr>
      <w:r w:rsidRPr="006952A4">
        <w:t>FWA deployments primarily provide broadband data.</w:t>
      </w:r>
    </w:p>
    <w:p w14:paraId="7F87A79A" w14:textId="42177DB4" w:rsidR="006952A4" w:rsidRPr="006952A4" w:rsidRDefault="006952A4" w:rsidP="00835432">
      <w:pPr>
        <w:numPr>
          <w:ilvl w:val="0"/>
          <w:numId w:val="5"/>
        </w:numPr>
      </w:pPr>
      <w:r>
        <w:t xml:space="preserve">Full IMS voice and emergency service procedures may </w:t>
      </w:r>
      <w:r w:rsidR="3BB937B1">
        <w:t>be simplified</w:t>
      </w:r>
      <w:r>
        <w:t xml:space="preserve"> in FWA use cases.</w:t>
      </w:r>
    </w:p>
    <w:p w14:paraId="3007882D" w14:textId="23D1F14C" w:rsidR="006952A4" w:rsidRPr="006952A4" w:rsidRDefault="00000000" w:rsidP="534090A4">
      <w:pPr>
        <w:keepNext/>
        <w:keepLines/>
        <w:widowControl w:val="0"/>
        <w:pBdr>
          <w:top w:val="single" w:sz="12" w:space="3" w:color="auto"/>
        </w:pBdr>
        <w:spacing w:before="240" w:after="180"/>
        <w:rPr>
          <w:rFonts w:ascii="Aptos" w:eastAsia="Aptos" w:hAnsi="Aptos" w:cs="Aptos"/>
        </w:rPr>
      </w:pPr>
      <w:r>
        <w:pict w14:anchorId="3A5A5664">
          <v:rect id="_x0000_i1025" style="width:0;height:1.5pt" o:hralign="center" o:hrstd="t" o:hr="t" fillcolor="#a0a0a0" stroked="f"/>
        </w:pict>
      </w:r>
      <w:r w:rsidR="15B23101" w:rsidRPr="534090A4">
        <w:rPr>
          <w:rFonts w:ascii="Arial" w:eastAsia="Arial" w:hAnsi="Arial" w:cs="Arial"/>
          <w:color w:val="000000" w:themeColor="text1"/>
          <w:sz w:val="36"/>
          <w:szCs w:val="36"/>
        </w:rPr>
        <w:t>4.Proposal</w:t>
      </w:r>
    </w:p>
    <w:p w14:paraId="2C000402" w14:textId="77777777" w:rsidR="006952A4" w:rsidRPr="006952A4" w:rsidRDefault="006952A4" w:rsidP="006952A4">
      <w:r>
        <w:t>It is proposed that RAN2 initiate a study on FWA enhancements focusing on:</w:t>
      </w:r>
    </w:p>
    <w:p w14:paraId="283C10ED" w14:textId="0AD3AA9D" w:rsidR="68AD9D35" w:rsidRDefault="68AD9D35" w:rsidP="534090A4">
      <w:pPr>
        <w:numPr>
          <w:ilvl w:val="0"/>
          <w:numId w:val="7"/>
        </w:numPr>
        <w:rPr>
          <w:rFonts w:ascii="Aptos" w:eastAsia="Aptos" w:hAnsi="Aptos"/>
        </w:rPr>
      </w:pPr>
      <w:r w:rsidRPr="534090A4">
        <w:rPr>
          <w:rFonts w:ascii="Aptos" w:eastAsia="Aptos" w:hAnsi="Aptos"/>
          <w:b/>
          <w:bCs/>
        </w:rPr>
        <w:t>Assessment of</w:t>
      </w:r>
      <w:r w:rsidRPr="534090A4">
        <w:rPr>
          <w:rFonts w:ascii="Aptos" w:eastAsia="Aptos" w:hAnsi="Aptos"/>
        </w:rPr>
        <w:t xml:space="preserve"> mobility-related procedures for stationary CPEs.</w:t>
      </w:r>
    </w:p>
    <w:p w14:paraId="4B45FA93" w14:textId="6CE2AFEF" w:rsidR="68AD9D35" w:rsidRDefault="68AD9D35" w:rsidP="534090A4">
      <w:pPr>
        <w:numPr>
          <w:ilvl w:val="0"/>
          <w:numId w:val="7"/>
        </w:numPr>
        <w:rPr>
          <w:rFonts w:ascii="Aptos" w:eastAsia="Aptos" w:hAnsi="Aptos"/>
        </w:rPr>
      </w:pPr>
      <w:r w:rsidRPr="534090A4">
        <w:rPr>
          <w:rFonts w:ascii="Aptos" w:eastAsia="Aptos" w:hAnsi="Aptos"/>
          <w:b/>
          <w:bCs/>
        </w:rPr>
        <w:t>Consideration of</w:t>
      </w:r>
      <w:r w:rsidRPr="534090A4">
        <w:rPr>
          <w:rFonts w:ascii="Aptos" w:eastAsia="Aptos" w:hAnsi="Aptos"/>
        </w:rPr>
        <w:t xml:space="preserve"> RRC and NAS signaling aspects relevant to FWA devices.</w:t>
      </w:r>
    </w:p>
    <w:p w14:paraId="5572A0FD" w14:textId="364310A4" w:rsidR="534090A4" w:rsidRPr="00735F67" w:rsidRDefault="68AD9D35" w:rsidP="00735F67">
      <w:pPr>
        <w:numPr>
          <w:ilvl w:val="0"/>
          <w:numId w:val="7"/>
        </w:numPr>
        <w:rPr>
          <w:rFonts w:ascii="Aptos" w:eastAsia="Aptos" w:hAnsi="Aptos"/>
          <w:b/>
          <w:bCs/>
        </w:rPr>
      </w:pPr>
      <w:r w:rsidRPr="00735F67">
        <w:rPr>
          <w:rFonts w:ascii="Aptos" w:eastAsia="Aptos" w:hAnsi="Aptos"/>
          <w:b/>
          <w:bCs/>
        </w:rPr>
        <w:t xml:space="preserve">Evaluation of </w:t>
      </w:r>
      <w:r w:rsidRPr="00735F67">
        <w:rPr>
          <w:rFonts w:ascii="Aptos" w:eastAsia="Aptos" w:hAnsi="Aptos"/>
        </w:rPr>
        <w:t>system information handling for FWA scenarios.</w:t>
      </w:r>
    </w:p>
    <w:p w14:paraId="61BBFF17" w14:textId="1516352B" w:rsidR="68AD9D35" w:rsidRDefault="68AD9D35" w:rsidP="00735F67">
      <w:pPr>
        <w:numPr>
          <w:ilvl w:val="0"/>
          <w:numId w:val="7"/>
        </w:numPr>
        <w:rPr>
          <w:rFonts w:ascii="Aptos" w:eastAsia="Aptos" w:hAnsi="Aptos"/>
        </w:rPr>
      </w:pPr>
      <w:r w:rsidRPr="534090A4">
        <w:rPr>
          <w:rFonts w:ascii="Aptos" w:eastAsia="Aptos" w:hAnsi="Aptos"/>
          <w:b/>
          <w:bCs/>
        </w:rPr>
        <w:t>Examination of</w:t>
      </w:r>
      <w:r w:rsidRPr="00735F67">
        <w:rPr>
          <w:rFonts w:ascii="Aptos" w:eastAsia="Aptos" w:hAnsi="Aptos"/>
          <w:b/>
          <w:bCs/>
        </w:rPr>
        <w:t xml:space="preserve"> </w:t>
      </w:r>
      <w:r w:rsidRPr="00735F67">
        <w:rPr>
          <w:rFonts w:ascii="Aptos" w:eastAsia="Aptos" w:hAnsi="Aptos"/>
        </w:rPr>
        <w:t>IMS voice and</w:t>
      </w:r>
      <w:r w:rsidRPr="534090A4">
        <w:rPr>
          <w:rFonts w:ascii="Aptos" w:eastAsia="Aptos" w:hAnsi="Aptos"/>
        </w:rPr>
        <w:t xml:space="preserve"> emergency service applicability for FWA.</w:t>
      </w:r>
    </w:p>
    <w:p w14:paraId="79032C3C" w14:textId="1D32DD78" w:rsidR="006952A4" w:rsidRPr="006952A4" w:rsidRDefault="00000000" w:rsidP="534090A4">
      <w:pPr>
        <w:keepNext/>
        <w:keepLines/>
        <w:widowControl w:val="0"/>
        <w:pBdr>
          <w:top w:val="single" w:sz="12" w:space="3" w:color="auto"/>
        </w:pBdr>
        <w:spacing w:before="240" w:after="180"/>
        <w:rPr>
          <w:rFonts w:ascii="Aptos" w:eastAsia="Aptos" w:hAnsi="Aptos" w:cs="Aptos"/>
        </w:rPr>
      </w:pPr>
      <w:r>
        <w:pict w14:anchorId="36B10E8C">
          <v:rect id="_x0000_i1026" style="width:0;height:1.5pt" o:hralign="center" o:hrstd="t" o:hr="t" fillcolor="#a0a0a0" stroked="f"/>
        </w:pict>
      </w:r>
      <w:r w:rsidR="370C5A8E" w:rsidRPr="534090A4">
        <w:rPr>
          <w:rFonts w:ascii="Arial" w:eastAsia="Arial" w:hAnsi="Arial" w:cs="Arial"/>
          <w:color w:val="000000" w:themeColor="text1"/>
          <w:sz w:val="36"/>
          <w:szCs w:val="36"/>
        </w:rPr>
        <w:t>5.Conclusion</w:t>
      </w:r>
    </w:p>
    <w:p w14:paraId="5B74FB42" w14:textId="1CF123B2" w:rsidR="006952A4" w:rsidRPr="006952A4" w:rsidRDefault="006952A4" w:rsidP="534090A4">
      <w:r>
        <w:t xml:space="preserve">This contribution highlights the importance of considering RAN2 </w:t>
      </w:r>
      <w:r w:rsidR="3AEC3102">
        <w:t>study</w:t>
      </w:r>
      <w:r>
        <w:t xml:space="preserve"> for FWA, specifically:</w:t>
      </w:r>
    </w:p>
    <w:p w14:paraId="0BA44C49" w14:textId="7195FC34" w:rsidR="006952A4" w:rsidRPr="006952A4" w:rsidRDefault="132DFC4B" w:rsidP="534090A4">
      <w:pPr>
        <w:numPr>
          <w:ilvl w:val="0"/>
          <w:numId w:val="8"/>
        </w:numPr>
        <w:rPr>
          <w:rFonts w:ascii="Aptos" w:eastAsia="Aptos" w:hAnsi="Aptos"/>
        </w:rPr>
      </w:pPr>
      <w:r w:rsidRPr="534090A4">
        <w:rPr>
          <w:rFonts w:ascii="Aptos" w:eastAsia="Aptos" w:hAnsi="Aptos"/>
          <w:b/>
          <w:bCs/>
        </w:rPr>
        <w:t>Assessment of</w:t>
      </w:r>
      <w:r w:rsidRPr="534090A4">
        <w:rPr>
          <w:rFonts w:ascii="Aptos" w:eastAsia="Aptos" w:hAnsi="Aptos"/>
        </w:rPr>
        <w:t xml:space="preserve"> mobility procedures.</w:t>
      </w:r>
    </w:p>
    <w:p w14:paraId="243A61F1" w14:textId="7899D093" w:rsidR="006952A4" w:rsidRPr="006952A4" w:rsidRDefault="132DFC4B" w:rsidP="534090A4">
      <w:pPr>
        <w:pStyle w:val="ListParagraph"/>
        <w:numPr>
          <w:ilvl w:val="0"/>
          <w:numId w:val="8"/>
        </w:numPr>
        <w:rPr>
          <w:rFonts w:ascii="Aptos" w:eastAsia="Aptos" w:hAnsi="Aptos"/>
        </w:rPr>
      </w:pPr>
      <w:r w:rsidRPr="534090A4">
        <w:rPr>
          <w:rFonts w:ascii="Aptos" w:eastAsia="Aptos" w:hAnsi="Aptos"/>
          <w:b/>
          <w:bCs/>
        </w:rPr>
        <w:t>Review of</w:t>
      </w:r>
      <w:r w:rsidRPr="534090A4">
        <w:rPr>
          <w:rFonts w:ascii="Aptos" w:eastAsia="Aptos" w:hAnsi="Aptos"/>
        </w:rPr>
        <w:t xml:space="preserve"> power saving mechanisms.</w:t>
      </w:r>
    </w:p>
    <w:p w14:paraId="4D1377D6" w14:textId="007A5048" w:rsidR="006952A4" w:rsidRPr="006952A4" w:rsidRDefault="006952A4" w:rsidP="534090A4">
      <w:pPr>
        <w:pStyle w:val="ListParagraph"/>
        <w:rPr>
          <w:rFonts w:ascii="Aptos" w:eastAsia="Aptos" w:hAnsi="Aptos"/>
        </w:rPr>
      </w:pPr>
    </w:p>
    <w:p w14:paraId="71B91D51" w14:textId="0FD48B01" w:rsidR="006952A4" w:rsidRPr="006952A4" w:rsidRDefault="132DFC4B" w:rsidP="534090A4">
      <w:pPr>
        <w:pStyle w:val="ListParagraph"/>
        <w:numPr>
          <w:ilvl w:val="0"/>
          <w:numId w:val="8"/>
        </w:numPr>
        <w:rPr>
          <w:rFonts w:ascii="Aptos" w:eastAsia="Aptos" w:hAnsi="Aptos"/>
        </w:rPr>
      </w:pPr>
      <w:r w:rsidRPr="534090A4">
        <w:rPr>
          <w:rFonts w:ascii="Aptos" w:eastAsia="Aptos" w:hAnsi="Aptos"/>
          <w:b/>
          <w:bCs/>
        </w:rPr>
        <w:t>Study of</w:t>
      </w:r>
      <w:r w:rsidRPr="534090A4">
        <w:rPr>
          <w:rFonts w:ascii="Aptos" w:eastAsia="Aptos" w:hAnsi="Aptos"/>
        </w:rPr>
        <w:t xml:space="preserve"> system information and NAS/RRC signaling aspects.</w:t>
      </w:r>
    </w:p>
    <w:p w14:paraId="1FB89C9C" w14:textId="3AC7CC48" w:rsidR="006952A4" w:rsidRPr="006952A4" w:rsidRDefault="006952A4" w:rsidP="534090A4">
      <w:pPr>
        <w:pStyle w:val="ListParagraph"/>
        <w:rPr>
          <w:rFonts w:ascii="Aptos" w:eastAsia="Aptos" w:hAnsi="Aptos"/>
        </w:rPr>
      </w:pPr>
    </w:p>
    <w:p w14:paraId="790BC043" w14:textId="731C27C3" w:rsidR="006952A4" w:rsidRPr="006952A4" w:rsidRDefault="132DFC4B" w:rsidP="534090A4">
      <w:pPr>
        <w:pStyle w:val="ListParagraph"/>
        <w:numPr>
          <w:ilvl w:val="0"/>
          <w:numId w:val="8"/>
        </w:numPr>
        <w:rPr>
          <w:rFonts w:ascii="Aptos" w:eastAsia="Aptos" w:hAnsi="Aptos"/>
        </w:rPr>
      </w:pPr>
      <w:r w:rsidRPr="534090A4">
        <w:rPr>
          <w:rFonts w:ascii="Aptos" w:eastAsia="Aptos" w:hAnsi="Aptos"/>
          <w:b/>
          <w:bCs/>
        </w:rPr>
        <w:t>Consideration of</w:t>
      </w:r>
      <w:r w:rsidRPr="534090A4">
        <w:rPr>
          <w:rFonts w:ascii="Aptos" w:eastAsia="Aptos" w:hAnsi="Aptos"/>
        </w:rPr>
        <w:t xml:space="preserve"> IMS voice and emergency service procedures.</w:t>
      </w:r>
    </w:p>
    <w:p w14:paraId="10262211" w14:textId="0D47DD63" w:rsidR="006952A4" w:rsidRDefault="006952A4">
      <w:r>
        <w:lastRenderedPageBreak/>
        <w:t>These considerations aim to improve efficiency and reduce signaling complexity for FWA deployments while ensuring alignment with NR and future 6G systems.</w:t>
      </w:r>
    </w:p>
    <w:p w14:paraId="04924CA5" w14:textId="0B3599BE" w:rsidR="0E4F521C" w:rsidRDefault="0E4F521C" w:rsidP="36B9B464">
      <w:pPr>
        <w:pBdr>
          <w:top w:val="single" w:sz="12" w:space="3" w:color="auto"/>
        </w:pBdr>
        <w:spacing w:before="240" w:after="180"/>
      </w:pPr>
      <w:r w:rsidRPr="36B9B464">
        <w:rPr>
          <w:rFonts w:ascii="Arial" w:eastAsia="Arial" w:hAnsi="Arial" w:cs="Arial"/>
          <w:sz w:val="32"/>
          <w:szCs w:val="32"/>
        </w:rPr>
        <w:t>References</w:t>
      </w:r>
    </w:p>
    <w:p w14:paraId="1C602728" w14:textId="7111F4F5" w:rsidR="0E4F521C" w:rsidRDefault="0E4F521C" w:rsidP="79B5065C">
      <w:pPr>
        <w:spacing w:before="120" w:after="120" w:line="257" w:lineRule="auto"/>
        <w:jc w:val="both"/>
      </w:pPr>
      <w:r w:rsidRPr="79B5065C">
        <w:rPr>
          <w:rFonts w:ascii="Times New Roman" w:eastAsia="Times New Roman" w:hAnsi="Times New Roman" w:cs="Times New Roman"/>
          <w:sz w:val="21"/>
          <w:szCs w:val="21"/>
        </w:rPr>
        <w:t>[1] R1-2505865: 6G Radio Access Needs Overview (T-Mobile USA, Nokia, Ericsson)</w:t>
      </w:r>
    </w:p>
    <w:p w14:paraId="4ED95EEA" w14:textId="058D35D9" w:rsidR="0E4F521C" w:rsidRDefault="0E4F521C" w:rsidP="79B5065C">
      <w:pPr>
        <w:spacing w:before="120" w:after="120" w:line="257" w:lineRule="auto"/>
        <w:jc w:val="both"/>
      </w:pPr>
      <w:r w:rsidRPr="79B5065C">
        <w:rPr>
          <w:rFonts w:ascii="Times New Roman" w:eastAsia="Times New Roman" w:hAnsi="Times New Roman" w:cs="Times New Roman"/>
          <w:sz w:val="21"/>
          <w:szCs w:val="21"/>
        </w:rPr>
        <w:t>[2] RP-251134: Requirements for Support of FWA in 6G (T-Mobile USA, AT&amp;T, Ericsson, Nokia, Telstra, Verizon)</w:t>
      </w:r>
    </w:p>
    <w:p w14:paraId="40391844" w14:textId="441F61E9" w:rsidR="79B5065C" w:rsidRDefault="79B5065C" w:rsidP="79B5065C"/>
    <w:sectPr w:rsidR="79B506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B06FC"/>
    <w:multiLevelType w:val="multilevel"/>
    <w:tmpl w:val="38F09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4E077C"/>
    <w:multiLevelType w:val="multilevel"/>
    <w:tmpl w:val="C0BED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28759B"/>
    <w:multiLevelType w:val="multilevel"/>
    <w:tmpl w:val="24261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816156"/>
    <w:multiLevelType w:val="multilevel"/>
    <w:tmpl w:val="C8924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CF0198"/>
    <w:multiLevelType w:val="multilevel"/>
    <w:tmpl w:val="CAACE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52769B"/>
    <w:multiLevelType w:val="multilevel"/>
    <w:tmpl w:val="EA8CA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BF3943"/>
    <w:multiLevelType w:val="multilevel"/>
    <w:tmpl w:val="EAF6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6F1AE1"/>
    <w:multiLevelType w:val="multilevel"/>
    <w:tmpl w:val="E432D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2634539">
    <w:abstractNumId w:val="7"/>
  </w:num>
  <w:num w:numId="2" w16cid:durableId="1527213157">
    <w:abstractNumId w:val="4"/>
  </w:num>
  <w:num w:numId="3" w16cid:durableId="1300111090">
    <w:abstractNumId w:val="3"/>
  </w:num>
  <w:num w:numId="4" w16cid:durableId="814251987">
    <w:abstractNumId w:val="6"/>
  </w:num>
  <w:num w:numId="5" w16cid:durableId="1152478369">
    <w:abstractNumId w:val="1"/>
  </w:num>
  <w:num w:numId="6" w16cid:durableId="1297372288">
    <w:abstractNumId w:val="2"/>
  </w:num>
  <w:num w:numId="7" w16cid:durableId="524557709">
    <w:abstractNumId w:val="0"/>
  </w:num>
  <w:num w:numId="8" w16cid:durableId="8623258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2A4"/>
    <w:rsid w:val="00204038"/>
    <w:rsid w:val="00232F5A"/>
    <w:rsid w:val="0027706A"/>
    <w:rsid w:val="0040202E"/>
    <w:rsid w:val="00524A3E"/>
    <w:rsid w:val="00593242"/>
    <w:rsid w:val="0066030F"/>
    <w:rsid w:val="006952A4"/>
    <w:rsid w:val="006B64DA"/>
    <w:rsid w:val="00735F67"/>
    <w:rsid w:val="00835432"/>
    <w:rsid w:val="008B0283"/>
    <w:rsid w:val="008B32B3"/>
    <w:rsid w:val="00A86D69"/>
    <w:rsid w:val="00B07575"/>
    <w:rsid w:val="00B131E6"/>
    <w:rsid w:val="00C6212F"/>
    <w:rsid w:val="00D213B8"/>
    <w:rsid w:val="00D57B3E"/>
    <w:rsid w:val="00E52ACE"/>
    <w:rsid w:val="00EC5667"/>
    <w:rsid w:val="0A31AE30"/>
    <w:rsid w:val="0C6E5898"/>
    <w:rsid w:val="0D98F478"/>
    <w:rsid w:val="0E4F521C"/>
    <w:rsid w:val="132DFC4B"/>
    <w:rsid w:val="1499DD1F"/>
    <w:rsid w:val="15B23101"/>
    <w:rsid w:val="23A598BF"/>
    <w:rsid w:val="266C9173"/>
    <w:rsid w:val="2A0F8F3C"/>
    <w:rsid w:val="31E8106B"/>
    <w:rsid w:val="32588970"/>
    <w:rsid w:val="341356DB"/>
    <w:rsid w:val="36B9B464"/>
    <w:rsid w:val="370C5A8E"/>
    <w:rsid w:val="3AEC3102"/>
    <w:rsid w:val="3BB937B1"/>
    <w:rsid w:val="3EC644CE"/>
    <w:rsid w:val="4A574B02"/>
    <w:rsid w:val="4AE17C56"/>
    <w:rsid w:val="4D01B465"/>
    <w:rsid w:val="534090A4"/>
    <w:rsid w:val="61D24D21"/>
    <w:rsid w:val="64E2BAA9"/>
    <w:rsid w:val="68AD9D35"/>
    <w:rsid w:val="6B32F8B3"/>
    <w:rsid w:val="6C2E909D"/>
    <w:rsid w:val="6CDD0BB7"/>
    <w:rsid w:val="74E18CFB"/>
    <w:rsid w:val="79B5065C"/>
    <w:rsid w:val="7BB4BEC8"/>
    <w:rsid w:val="7C731287"/>
    <w:rsid w:val="7DC6DFCF"/>
    <w:rsid w:val="7FDE3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7C357"/>
  <w15:chartTrackingRefBased/>
  <w15:docId w15:val="{6C493192-C4C7-4C39-B885-A478158A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52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52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52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52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52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52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52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52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52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52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52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52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52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52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52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52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52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52A4"/>
    <w:rPr>
      <w:rFonts w:eastAsiaTheme="majorEastAsia" w:cstheme="majorBidi"/>
      <w:color w:val="272727" w:themeColor="text1" w:themeTint="D8"/>
    </w:rPr>
  </w:style>
  <w:style w:type="paragraph" w:styleId="Title">
    <w:name w:val="Title"/>
    <w:basedOn w:val="Normal"/>
    <w:next w:val="Normal"/>
    <w:link w:val="TitleChar"/>
    <w:uiPriority w:val="10"/>
    <w:qFormat/>
    <w:rsid w:val="006952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52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52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52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52A4"/>
    <w:pPr>
      <w:spacing w:before="160"/>
      <w:jc w:val="center"/>
    </w:pPr>
    <w:rPr>
      <w:i/>
      <w:iCs/>
      <w:color w:val="404040" w:themeColor="text1" w:themeTint="BF"/>
    </w:rPr>
  </w:style>
  <w:style w:type="character" w:customStyle="1" w:styleId="QuoteChar">
    <w:name w:val="Quote Char"/>
    <w:basedOn w:val="DefaultParagraphFont"/>
    <w:link w:val="Quote"/>
    <w:uiPriority w:val="29"/>
    <w:rsid w:val="006952A4"/>
    <w:rPr>
      <w:i/>
      <w:iCs/>
      <w:color w:val="404040" w:themeColor="text1" w:themeTint="BF"/>
    </w:rPr>
  </w:style>
  <w:style w:type="paragraph" w:styleId="ListParagraph">
    <w:name w:val="List Paragraph"/>
    <w:basedOn w:val="Normal"/>
    <w:uiPriority w:val="34"/>
    <w:qFormat/>
    <w:rsid w:val="006952A4"/>
    <w:pPr>
      <w:ind w:left="720"/>
      <w:contextualSpacing/>
    </w:pPr>
  </w:style>
  <w:style w:type="character" w:styleId="IntenseEmphasis">
    <w:name w:val="Intense Emphasis"/>
    <w:basedOn w:val="DefaultParagraphFont"/>
    <w:uiPriority w:val="21"/>
    <w:qFormat/>
    <w:rsid w:val="006952A4"/>
    <w:rPr>
      <w:i/>
      <w:iCs/>
      <w:color w:val="0F4761" w:themeColor="accent1" w:themeShade="BF"/>
    </w:rPr>
  </w:style>
  <w:style w:type="paragraph" w:styleId="IntenseQuote">
    <w:name w:val="Intense Quote"/>
    <w:basedOn w:val="Normal"/>
    <w:next w:val="Normal"/>
    <w:link w:val="IntenseQuoteChar"/>
    <w:uiPriority w:val="30"/>
    <w:qFormat/>
    <w:rsid w:val="006952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52A4"/>
    <w:rPr>
      <w:i/>
      <w:iCs/>
      <w:color w:val="0F4761" w:themeColor="accent1" w:themeShade="BF"/>
    </w:rPr>
  </w:style>
  <w:style w:type="character" w:styleId="IntenseReference">
    <w:name w:val="Intense Reference"/>
    <w:basedOn w:val="DefaultParagraphFont"/>
    <w:uiPriority w:val="32"/>
    <w:qFormat/>
    <w:rsid w:val="006952A4"/>
    <w:rPr>
      <w:b/>
      <w:bCs/>
      <w:smallCaps/>
      <w:color w:val="0F4761" w:themeColor="accent1" w:themeShade="BF"/>
      <w:spacing w:val="5"/>
    </w:rPr>
  </w:style>
  <w:style w:type="paragraph" w:customStyle="1" w:styleId="CRCoverPage">
    <w:name w:val="CR Cover Page"/>
    <w:basedOn w:val="Normal"/>
    <w:link w:val="CRCoverPageZchn"/>
    <w:uiPriority w:val="1"/>
    <w:rsid w:val="534090A4"/>
    <w:pPr>
      <w:spacing w:after="120"/>
    </w:pPr>
    <w:rPr>
      <w:rFonts w:ascii="Arial" w:eastAsia="MS Mincho" w:hAnsi="Arial" w:cs="Times New Roman"/>
      <w:lang w:val="en-GB"/>
    </w:rPr>
  </w:style>
  <w:style w:type="character" w:customStyle="1" w:styleId="CRCoverPageZchn">
    <w:name w:val="CR Cover Page Zchn"/>
    <w:basedOn w:val="DefaultParagraphFont"/>
    <w:link w:val="CRCoverPage"/>
    <w:uiPriority w:val="1"/>
    <w:rsid w:val="534090A4"/>
    <w:rPr>
      <w:rFonts w:ascii="Arial" w:eastAsia="MS Mincho" w:hAnsi="Arial" w:cs="Times New Roman"/>
      <w:lang w:val="en-GB" w:eastAsia="en-US"/>
    </w:rPr>
  </w:style>
  <w:style w:type="character" w:styleId="Hyperlink">
    <w:name w:val="Hyperlink"/>
    <w:basedOn w:val="DefaultParagraphFont"/>
    <w:uiPriority w:val="99"/>
    <w:unhideWhenUsed/>
    <w:rsid w:val="79B5065C"/>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C3090E-AF21-4B92-AAFB-4B8829A716FF}">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customXml/itemProps2.xml><?xml version="1.0" encoding="utf-8"?>
<ds:datastoreItem xmlns:ds="http://schemas.openxmlformats.org/officeDocument/2006/customXml" ds:itemID="{A7B3BCCD-F1A3-4A02-BF90-566C8674AC79}">
  <ds:schemaRefs>
    <ds:schemaRef ds:uri="http://schemas.microsoft.com/sharepoint/v3/contenttype/forms"/>
  </ds:schemaRefs>
</ds:datastoreItem>
</file>

<file path=customXml/itemProps3.xml><?xml version="1.0" encoding="utf-8"?>
<ds:datastoreItem xmlns:ds="http://schemas.openxmlformats.org/officeDocument/2006/customXml" ds:itemID="{A2FB4E46-35AF-4F1E-83B5-D99350F7C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440</Words>
  <Characters>2514</Characters>
  <Application>Microsoft Office Word</Application>
  <DocSecurity>0</DocSecurity>
  <Lines>20</Lines>
  <Paragraphs>5</Paragraphs>
  <ScaleCrop>false</ScaleCrop>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 Darshan</dc:creator>
  <cp:keywords/>
  <dc:description/>
  <cp:lastModifiedBy>Lu, (Max) Kun</cp:lastModifiedBy>
  <cp:revision>8</cp:revision>
  <dcterms:created xsi:type="dcterms:W3CDTF">2025-09-29T17:03:00Z</dcterms:created>
  <dcterms:modified xsi:type="dcterms:W3CDTF">2025-10-01T17:13:00Z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0x010100100A9C803B9499498C3379F790FC8075</vt:lpwstr>
  </property>
  <property fmtid="{D5CDD505-2E9C-101B-9397-08002B2CF9AE}" pid="3" name="TaxKeyword">
    <vt:lpwstr/>
  </property>
  <property fmtid="{D5CDD505-2E9C-101B-9397-08002B2CF9AE}" pid="4" name="TaxKeywordTaxHTField">
    <vt:lpwstr/>
  </property>
  <property fmtid="{D5CDD505-2E9C-101B-9397-08002B2CF9AE}" pid="5" name="MediaServiceImageTags">
    <vt:lpwstr/>
  </property>
  <property fmtid="{D5CDD505-2E9C-101B-9397-08002B2CF9AE}" pid="6" name="lcf76f155ced4ddcb4097134ff3c332f">
    <vt:lpwstr/>
  </property>
  <property fmtid="{D5CDD505-2E9C-101B-9397-08002B2CF9AE}" pid="7" name="Organization">
    <vt:lpwstr/>
  </property>
  <property fmtid="{D5CDD505-2E9C-101B-9397-08002B2CF9AE}" pid="8" name="Classification">
    <vt:lpwstr/>
  </property>
  <property fmtid="{D5CDD505-2E9C-101B-9397-08002B2CF9AE}" pid="9" name="m11e907e0cc44baaadb3e4ec52b78d5c">
    <vt:lpwstr/>
  </property>
  <property fmtid="{D5CDD505-2E9C-101B-9397-08002B2CF9AE}" pid="10" name="de1f76f3127841d3b0446efdf5532abf">
    <vt:lpwstr/>
  </property>
  <property fmtid="{D5CDD505-2E9C-101B-9397-08002B2CF9AE}" pid="11" name="TaxCatchAll">
    <vt:lpwstr/>
  </property>
</Properties>
</file>